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autoSpaceDE w:val="0"/>
        <w:autoSpaceDN w:val="0"/>
        <w:adjustRightInd w:val="0"/>
        <w:spacing w:after="0" w:line="360" w:lineRule="auto"/>
        <w:ind w:left="10206"/>
        <w:jc w:val="both"/>
        <w:rPr>
          <w:rFonts w:ascii="PT Astra Serif" w:eastAsia="Times New Roman" w:hAnsi="PT Astra Serif"/>
          <w:bCs/>
          <w:sz w:val="28"/>
          <w:szCs w:val="28"/>
          <w:lang w:eastAsia="ru-RU"/>
        </w:rPr>
      </w:pPr>
      <w:r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Приложение </w:t>
      </w:r>
    </w:p>
    <w:p>
      <w:pPr>
        <w:autoSpaceDE w:val="0"/>
        <w:autoSpaceDN w:val="0"/>
        <w:adjustRightInd w:val="0"/>
        <w:spacing w:after="0" w:line="240" w:lineRule="auto"/>
        <w:ind w:left="10206"/>
        <w:rPr>
          <w:rFonts w:ascii="PT Astra Serif" w:hAnsi="PT Astra Serif"/>
          <w:sz w:val="28"/>
          <w:szCs w:val="28"/>
        </w:rPr>
      </w:pPr>
      <w:r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к Порядку </w:t>
      </w:r>
      <w:r>
        <w:rPr>
          <w:rFonts w:ascii="PT Astra Serif" w:hAnsi="PT Astra Serif"/>
          <w:sz w:val="28"/>
          <w:szCs w:val="28"/>
        </w:rPr>
        <w:t xml:space="preserve">формирования перечня налоговых расходов муниципального образования Тазовский район </w:t>
      </w:r>
    </w:p>
    <w:p>
      <w:pPr>
        <w:autoSpaceDE w:val="0"/>
        <w:autoSpaceDN w:val="0"/>
        <w:adjustRightInd w:val="0"/>
        <w:spacing w:after="0" w:line="240" w:lineRule="auto"/>
        <w:ind w:left="4820"/>
        <w:rPr>
          <w:rFonts w:ascii="PT Astra Serif" w:eastAsia="Times New Roman" w:hAnsi="PT Astra Serif"/>
          <w:bCs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spacing w:after="0" w:line="240" w:lineRule="auto"/>
        <w:ind w:left="4820"/>
        <w:rPr>
          <w:rFonts w:ascii="PT Astra Serif" w:eastAsia="Times New Roman" w:hAnsi="PT Astra Serif"/>
          <w:bCs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spacing w:after="0" w:line="240" w:lineRule="auto"/>
        <w:ind w:left="4820"/>
        <w:rPr>
          <w:rFonts w:ascii="PT Astra Serif" w:eastAsia="Times New Roman" w:hAnsi="PT Astra Serif"/>
          <w:bCs/>
          <w:sz w:val="28"/>
          <w:szCs w:val="28"/>
          <w:lang w:eastAsia="ru-RU"/>
        </w:rPr>
      </w:pPr>
    </w:p>
    <w:p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 w:cs="Calibri"/>
          <w:b/>
          <w:sz w:val="28"/>
          <w:szCs w:val="28"/>
          <w:lang w:eastAsia="ru-RU"/>
        </w:rPr>
      </w:pPr>
      <w:r>
        <w:rPr>
          <w:rFonts w:ascii="PT Astra Serif" w:eastAsia="Times New Roman" w:hAnsi="PT Astra Serif" w:cs="Calibri"/>
          <w:b/>
          <w:sz w:val="28"/>
          <w:szCs w:val="28"/>
          <w:lang w:eastAsia="ru-RU"/>
        </w:rPr>
        <w:t>ПЕРЕЧЕНЬ</w:t>
      </w:r>
    </w:p>
    <w:p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 w:cs="Calibri"/>
          <w:b/>
          <w:sz w:val="28"/>
          <w:szCs w:val="28"/>
          <w:lang w:eastAsia="ru-RU"/>
        </w:rPr>
      </w:pPr>
      <w:r>
        <w:rPr>
          <w:rFonts w:ascii="PT Astra Serif" w:eastAsia="Times New Roman" w:hAnsi="PT Astra Serif" w:cs="Calibri"/>
          <w:b/>
          <w:sz w:val="28"/>
          <w:szCs w:val="28"/>
          <w:lang w:eastAsia="ru-RU"/>
        </w:rPr>
        <w:t>налоговых расходов муниципального образования Тазовский района</w:t>
      </w:r>
    </w:p>
    <w:p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 w:cs="Calibri"/>
          <w:sz w:val="28"/>
          <w:szCs w:val="28"/>
          <w:lang w:eastAsia="ru-RU"/>
        </w:rPr>
      </w:pPr>
      <w:r>
        <w:rPr>
          <w:rFonts w:ascii="PT Astra Serif" w:eastAsia="Times New Roman" w:hAnsi="PT Astra Serif" w:cs="Calibri"/>
          <w:sz w:val="28"/>
          <w:szCs w:val="28"/>
          <w:lang w:eastAsia="ru-RU"/>
        </w:rPr>
        <w:t>на ________ год</w:t>
      </w:r>
    </w:p>
    <w:p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</w:p>
    <w:tbl>
      <w:tblPr>
        <w:tblW w:w="15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1127"/>
        <w:gridCol w:w="1134"/>
        <w:gridCol w:w="992"/>
        <w:gridCol w:w="993"/>
        <w:gridCol w:w="992"/>
        <w:gridCol w:w="1134"/>
        <w:gridCol w:w="820"/>
        <w:gridCol w:w="2410"/>
        <w:gridCol w:w="1448"/>
        <w:gridCol w:w="1134"/>
        <w:gridCol w:w="1134"/>
        <w:gridCol w:w="1462"/>
      </w:tblGrid>
      <w:tr>
        <w:trPr>
          <w:cantSplit/>
          <w:trHeight w:val="3508"/>
          <w:jc w:val="center"/>
        </w:trPr>
        <w:tc>
          <w:tcPr>
            <w:tcW w:w="568" w:type="dxa"/>
            <w:vAlign w:val="center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1127" w:type="dxa"/>
            <w:textDirection w:val="btLr"/>
            <w:vAlign w:val="center"/>
          </w:tcPr>
          <w:p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Наименование налогового расхода</w:t>
            </w:r>
          </w:p>
        </w:tc>
        <w:tc>
          <w:tcPr>
            <w:tcW w:w="1134" w:type="dxa"/>
            <w:textDirection w:val="btLr"/>
            <w:vAlign w:val="center"/>
          </w:tcPr>
          <w:p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Реквизиты нормативного правового акта, устанавливающего налоговый расход (с указанием статьи, части, пункта, подпункта, абзаца)</w:t>
            </w:r>
          </w:p>
        </w:tc>
        <w:tc>
          <w:tcPr>
            <w:tcW w:w="992" w:type="dxa"/>
            <w:textDirection w:val="btLr"/>
            <w:vAlign w:val="center"/>
          </w:tcPr>
          <w:p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Дата начала действия налогового расхода</w:t>
            </w:r>
          </w:p>
        </w:tc>
        <w:tc>
          <w:tcPr>
            <w:tcW w:w="993" w:type="dxa"/>
            <w:textDirection w:val="btLr"/>
            <w:vAlign w:val="center"/>
          </w:tcPr>
          <w:p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Дата окончания действия налогового расхода</w:t>
            </w:r>
          </w:p>
        </w:tc>
        <w:tc>
          <w:tcPr>
            <w:tcW w:w="992" w:type="dxa"/>
            <w:textDirection w:val="btLr"/>
            <w:vAlign w:val="center"/>
          </w:tcPr>
          <w:p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Срок применения налогового расхода</w:t>
            </w:r>
          </w:p>
        </w:tc>
        <w:tc>
          <w:tcPr>
            <w:tcW w:w="1134" w:type="dxa"/>
            <w:textDirection w:val="btLr"/>
            <w:vAlign w:val="center"/>
          </w:tcPr>
          <w:p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 xml:space="preserve">Категория плательщиков налогов, 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 xml:space="preserve">для которых предусмотрен 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налоговый расход</w:t>
            </w:r>
          </w:p>
        </w:tc>
        <w:tc>
          <w:tcPr>
            <w:tcW w:w="820" w:type="dxa"/>
            <w:textDirection w:val="btLr"/>
            <w:vAlign w:val="center"/>
          </w:tcPr>
          <w:p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Куратор налогового расхода</w:t>
            </w:r>
          </w:p>
        </w:tc>
        <w:tc>
          <w:tcPr>
            <w:tcW w:w="2410" w:type="dxa"/>
            <w:textDirection w:val="btLr"/>
            <w:vAlign w:val="center"/>
          </w:tcPr>
          <w:p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Наименование муниципальной программы, (наименование муниципального правового акта, определяющего цели социально-экономической политики муниципального образования, не относящиеся к муниципальным программам, в целях реализации которых предоставляется налоговый расход)*</w:t>
            </w:r>
          </w:p>
        </w:tc>
        <w:tc>
          <w:tcPr>
            <w:tcW w:w="1448" w:type="dxa"/>
            <w:textDirection w:val="btLr"/>
            <w:vAlign w:val="center"/>
          </w:tcPr>
          <w:p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Наименование подпрограммы, мероприятия подпрограммы муниципальной программы, в рамках которых предоставляется налоговый расход **</w:t>
            </w:r>
          </w:p>
        </w:tc>
        <w:tc>
          <w:tcPr>
            <w:tcW w:w="1134" w:type="dxa"/>
            <w:textDirection w:val="btLr"/>
            <w:vAlign w:val="center"/>
          </w:tcPr>
          <w:p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Целевая категория налогового расхода (социальная, техническая, стимулирующая)</w:t>
            </w:r>
          </w:p>
        </w:tc>
        <w:tc>
          <w:tcPr>
            <w:tcW w:w="1134" w:type="dxa"/>
            <w:textDirection w:val="btLr"/>
            <w:vAlign w:val="center"/>
          </w:tcPr>
          <w:p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 xml:space="preserve">Цель предоставления 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налогового расхода ***</w:t>
            </w:r>
          </w:p>
        </w:tc>
        <w:tc>
          <w:tcPr>
            <w:tcW w:w="1462" w:type="dxa"/>
            <w:textDirection w:val="btLr"/>
            <w:vAlign w:val="center"/>
          </w:tcPr>
          <w:p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Показатель (индикатор) достижения цели в связи с предоставлением налогового расхода ****</w:t>
            </w:r>
          </w:p>
        </w:tc>
      </w:tr>
      <w:tr>
        <w:trPr>
          <w:jc w:val="center"/>
        </w:trPr>
        <w:tc>
          <w:tcPr>
            <w:tcW w:w="568" w:type="dxa"/>
            <w:vAlign w:val="center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bookmarkStart w:id="0" w:name="P76"/>
            <w:bookmarkEnd w:id="0"/>
            <w:r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7" w:type="dxa"/>
            <w:vAlign w:val="center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vAlign w:val="center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vAlign w:val="center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20" w:type="dxa"/>
            <w:vAlign w:val="center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bookmarkStart w:id="1" w:name="P80"/>
            <w:bookmarkEnd w:id="1"/>
            <w:r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0" w:type="dxa"/>
            <w:vAlign w:val="center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bookmarkStart w:id="2" w:name="P81"/>
            <w:bookmarkEnd w:id="2"/>
            <w:r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48" w:type="dxa"/>
            <w:vAlign w:val="center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bookmarkStart w:id="3" w:name="P84"/>
            <w:bookmarkEnd w:id="3"/>
            <w:r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2" w:type="dxa"/>
            <w:vAlign w:val="center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  <w:t>13</w:t>
            </w:r>
          </w:p>
        </w:tc>
      </w:tr>
      <w:tr>
        <w:trPr>
          <w:jc w:val="center"/>
        </w:trPr>
        <w:tc>
          <w:tcPr>
            <w:tcW w:w="568" w:type="dxa"/>
            <w:vAlign w:val="center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vAlign w:val="center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center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vAlign w:val="center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vAlign w:val="center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vAlign w:val="center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0"/>
                <w:szCs w:val="20"/>
                <w:lang w:eastAsia="ru-RU"/>
              </w:rPr>
            </w:pPr>
          </w:p>
        </w:tc>
      </w:tr>
    </w:tbl>
    <w:p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eastAsia="Times New Roman" w:hAnsi="PT Astra Serif" w:cs="Calibri"/>
          <w:szCs w:val="20"/>
          <w:lang w:eastAsia="ru-RU"/>
        </w:rPr>
      </w:pPr>
    </w:p>
    <w:p>
      <w:pPr>
        <w:widowControl w:val="0"/>
        <w:autoSpaceDE w:val="0"/>
        <w:autoSpaceDN w:val="0"/>
        <w:spacing w:before="220" w:after="0" w:line="240" w:lineRule="auto"/>
        <w:ind w:firstLine="709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* В случае если налоговой расход предоставлен для достижения целей социально-экономической политики </w:t>
      </w:r>
      <w:r>
        <w:rPr>
          <w:rFonts w:ascii="PT Astra Serif" w:eastAsia="Times New Roman" w:hAnsi="PT Astra Serif" w:cs="Calibri"/>
          <w:sz w:val="28"/>
          <w:szCs w:val="28"/>
          <w:lang w:eastAsia="ru-RU"/>
        </w:rPr>
        <w:lastRenderedPageBreak/>
        <w:t>муниципального образования Тазовский район по направлениям деятельности, не относящимся к муниципальным программам, указывается наименование муниципального правового акта, определяющего цели социально-экономической политики муниципального образования Тазовский район.</w:t>
      </w:r>
    </w:p>
    <w:p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>
        <w:rPr>
          <w:rFonts w:ascii="PT Astra Serif" w:eastAsia="Times New Roman" w:hAnsi="PT Astra Serif" w:cs="Calibri"/>
          <w:sz w:val="28"/>
          <w:szCs w:val="28"/>
          <w:lang w:eastAsia="ru-RU"/>
        </w:rPr>
        <w:t>** В случае если налоговой расход предоставлен для достижения целей социально-экономической политики муниципального образования Тазовский район по направлениям деятельности, не относящимся к муниципальным программам, графа не заполняется.</w:t>
      </w:r>
    </w:p>
    <w:p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>
        <w:rPr>
          <w:rFonts w:ascii="PT Astra Serif" w:eastAsia="Times New Roman" w:hAnsi="PT Astra Serif" w:cs="Calibri"/>
          <w:sz w:val="28"/>
          <w:szCs w:val="28"/>
          <w:lang w:eastAsia="ru-RU"/>
        </w:rPr>
        <w:t>*** Указываются цель и задача муниципальной программы (подпрограммы муниципальной программы), либо цель социально-экономической политики муниципального образования Тазовский район (по направлениям деятельности, не относящимся к муниципальным программам), для достижения которых предоставлен налоговый расход.</w:t>
      </w:r>
    </w:p>
    <w:p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>
        <w:rPr>
          <w:rFonts w:ascii="PT Astra Serif" w:eastAsia="Times New Roman" w:hAnsi="PT Astra Serif" w:cs="Calibri"/>
          <w:sz w:val="28"/>
          <w:szCs w:val="28"/>
          <w:lang w:eastAsia="ru-RU"/>
        </w:rPr>
        <w:t xml:space="preserve">**** Указывается показатель муниципальной программы (подпрограммы муниципальной программы),                                 </w:t>
      </w:r>
      <w:bookmarkStart w:id="4" w:name="_GoBack"/>
      <w:bookmarkEnd w:id="4"/>
      <w:r>
        <w:rPr>
          <w:rFonts w:ascii="PT Astra Serif" w:eastAsia="Times New Roman" w:hAnsi="PT Astra Serif" w:cs="Calibri"/>
          <w:sz w:val="28"/>
          <w:szCs w:val="28"/>
          <w:lang w:eastAsia="ru-RU"/>
        </w:rPr>
        <w:t>на достижение которого направлен налоговый расход.</w:t>
      </w:r>
    </w:p>
    <w:p>
      <w:pPr>
        <w:widowControl w:val="0"/>
        <w:tabs>
          <w:tab w:val="left" w:pos="14742"/>
        </w:tabs>
        <w:autoSpaceDE w:val="0"/>
        <w:autoSpaceDN w:val="0"/>
        <w:spacing w:before="220" w:after="0" w:line="240" w:lineRule="auto"/>
        <w:ind w:firstLine="540"/>
        <w:jc w:val="both"/>
        <w:rPr>
          <w:rFonts w:ascii="PT Astra Serif" w:eastAsia="Times New Roman" w:hAnsi="PT Astra Serif" w:cs="Calibri"/>
          <w:sz w:val="28"/>
          <w:szCs w:val="28"/>
          <w:lang w:eastAsia="ru-RU"/>
        </w:rPr>
      </w:pPr>
      <w:r>
        <w:rPr>
          <w:rFonts w:ascii="PT Astra Serif" w:eastAsia="Times New Roman" w:hAnsi="PT Astra Serif" w:cs="Calibri"/>
          <w:sz w:val="28"/>
          <w:szCs w:val="28"/>
          <w:lang w:eastAsia="ru-RU"/>
        </w:rPr>
        <w:t>В случае если налоговой расход предоставлен для достижения целей социально-экономической политики муниципального образования Тазовский район по направлениям деятельности, не относящимся к муниципальным программам, указываются измеряемые показатели цели социально-экономической политики муниципального образования Тазовский район, на достижение которых направлен налоговый расход.</w:t>
      </w:r>
    </w:p>
    <w:p>
      <w:pPr>
        <w:widowControl w:val="0"/>
        <w:autoSpaceDE w:val="0"/>
        <w:autoSpaceDN w:val="0"/>
        <w:spacing w:after="0" w:line="240" w:lineRule="auto"/>
        <w:rPr>
          <w:rFonts w:ascii="PT Astra Serif" w:eastAsia="Times New Roman" w:hAnsi="PT Astra Serif" w:cs="Calibri"/>
          <w:sz w:val="28"/>
          <w:szCs w:val="28"/>
          <w:lang w:eastAsia="ru-RU"/>
        </w:rPr>
      </w:pPr>
    </w:p>
    <w:p>
      <w:pPr>
        <w:spacing w:after="0"/>
        <w:jc w:val="center"/>
        <w:rPr>
          <w:rFonts w:ascii="PT Astra Serif" w:hAnsi="PT Astra Serif"/>
          <w:sz w:val="28"/>
          <w:szCs w:val="28"/>
        </w:rPr>
      </w:pPr>
    </w:p>
    <w:sectPr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PT Astra Serif" w:hAnsi="PT Astra Serif"/>
        <w:sz w:val="24"/>
        <w:szCs w:val="24"/>
      </w:rPr>
      <w:id w:val="-1379937329"/>
      <w:docPartObj>
        <w:docPartGallery w:val="Page Numbers (Top of Page)"/>
        <w:docPartUnique/>
      </w:docPartObj>
    </w:sdtPr>
    <w:sdtContent>
      <w:p>
        <w:pPr>
          <w:pStyle w:val="a7"/>
          <w:jc w:val="center"/>
          <w:rPr>
            <w:rFonts w:ascii="PT Astra Serif" w:hAnsi="PT Astra Serif"/>
            <w:sz w:val="24"/>
            <w:szCs w:val="24"/>
          </w:rPr>
        </w:pPr>
      </w:p>
      <w:p>
        <w:pPr>
          <w:pStyle w:val="a7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2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>
    <w:pPr>
      <w:pStyle w:val="a7"/>
      <w:jc w:val="center"/>
      <w:rPr>
        <w:rFonts w:ascii="PT Astra Serif" w:hAnsi="PT Astra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F5F72"/>
    <w:multiLevelType w:val="multilevel"/>
    <w:tmpl w:val="829ACA5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>
    <w:nsid w:val="06470C1E"/>
    <w:multiLevelType w:val="hybridMultilevel"/>
    <w:tmpl w:val="BE429C88"/>
    <w:lvl w:ilvl="0" w:tplc="2112F2A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C414BE1"/>
    <w:multiLevelType w:val="hybridMultilevel"/>
    <w:tmpl w:val="0B32CBA4"/>
    <w:lvl w:ilvl="0" w:tplc="183061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9704D3"/>
    <w:multiLevelType w:val="hybridMultilevel"/>
    <w:tmpl w:val="0FA8260E"/>
    <w:lvl w:ilvl="0" w:tplc="791A7BF6">
      <w:start w:val="1"/>
      <w:numFmt w:val="decimal"/>
      <w:lvlText w:val="%1."/>
      <w:lvlJc w:val="left"/>
      <w:pPr>
        <w:ind w:left="1456" w:hanging="9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D366639"/>
    <w:multiLevelType w:val="multilevel"/>
    <w:tmpl w:val="829ACA5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>
    <w:nsid w:val="216D7855"/>
    <w:multiLevelType w:val="hybridMultilevel"/>
    <w:tmpl w:val="400428E6"/>
    <w:lvl w:ilvl="0" w:tplc="3B70CBBA">
      <w:start w:val="1"/>
      <w:numFmt w:val="upperRoman"/>
      <w:lvlText w:val="%1."/>
      <w:lvlJc w:val="left"/>
      <w:pPr>
        <w:ind w:left="795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6">
    <w:nsid w:val="26177BD8"/>
    <w:multiLevelType w:val="hybridMultilevel"/>
    <w:tmpl w:val="34E6BA2C"/>
    <w:lvl w:ilvl="0" w:tplc="236C4D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6C03B2E"/>
    <w:multiLevelType w:val="hybridMultilevel"/>
    <w:tmpl w:val="0D42DFB2"/>
    <w:lvl w:ilvl="0" w:tplc="CBE4A51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3D0C22BE"/>
    <w:multiLevelType w:val="hybridMultilevel"/>
    <w:tmpl w:val="700C010E"/>
    <w:lvl w:ilvl="0" w:tplc="D19277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3C6693"/>
    <w:multiLevelType w:val="hybridMultilevel"/>
    <w:tmpl w:val="E8E8A312"/>
    <w:lvl w:ilvl="0" w:tplc="8B6C25E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F44FE7"/>
    <w:multiLevelType w:val="hybridMultilevel"/>
    <w:tmpl w:val="3566F6BC"/>
    <w:lvl w:ilvl="0" w:tplc="92B2382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522E047E"/>
    <w:multiLevelType w:val="hybridMultilevel"/>
    <w:tmpl w:val="0C10302A"/>
    <w:lvl w:ilvl="0" w:tplc="44DAD4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7E787F"/>
    <w:multiLevelType w:val="hybridMultilevel"/>
    <w:tmpl w:val="94564E92"/>
    <w:lvl w:ilvl="0" w:tplc="9AE6D7E8">
      <w:start w:val="1"/>
      <w:numFmt w:val="decimal"/>
      <w:lvlText w:val="%1."/>
      <w:lvlJc w:val="left"/>
      <w:pPr>
        <w:ind w:left="786" w:hanging="360"/>
      </w:pPr>
      <w:rPr>
        <w:rFonts w:ascii="PT Astra Serif" w:hAnsi="PT Astra Serif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28203F"/>
    <w:multiLevelType w:val="multilevel"/>
    <w:tmpl w:val="827679C6"/>
    <w:lvl w:ilvl="0">
      <w:start w:val="1"/>
      <w:numFmt w:val="decimal"/>
      <w:lvlText w:val="%1."/>
      <w:lvlJc w:val="left"/>
      <w:pPr>
        <w:ind w:left="419" w:hanging="41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4">
    <w:nsid w:val="78F777BA"/>
    <w:multiLevelType w:val="multilevel"/>
    <w:tmpl w:val="D21E441A"/>
    <w:lvl w:ilvl="0">
      <w:start w:val="2"/>
      <w:numFmt w:val="decimal"/>
      <w:lvlText w:val="%1"/>
      <w:lvlJc w:val="left"/>
      <w:pPr>
        <w:ind w:left="563" w:hanging="56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7" w:hanging="563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>
    <w:nsid w:val="7BD44D0F"/>
    <w:multiLevelType w:val="multilevel"/>
    <w:tmpl w:val="829ACA5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6">
    <w:nsid w:val="7F5543D3"/>
    <w:multiLevelType w:val="hybridMultilevel"/>
    <w:tmpl w:val="E5E63566"/>
    <w:lvl w:ilvl="0" w:tplc="A04E3AB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3"/>
  </w:num>
  <w:num w:numId="5">
    <w:abstractNumId w:val="14"/>
  </w:num>
  <w:num w:numId="6">
    <w:abstractNumId w:val="16"/>
  </w:num>
  <w:num w:numId="7">
    <w:abstractNumId w:val="15"/>
  </w:num>
  <w:num w:numId="8">
    <w:abstractNumId w:val="0"/>
  </w:num>
  <w:num w:numId="9">
    <w:abstractNumId w:val="1"/>
  </w:num>
  <w:num w:numId="10">
    <w:abstractNumId w:val="12"/>
  </w:num>
  <w:num w:numId="11">
    <w:abstractNumId w:val="3"/>
  </w:num>
  <w:num w:numId="12">
    <w:abstractNumId w:val="2"/>
  </w:num>
  <w:num w:numId="13">
    <w:abstractNumId w:val="11"/>
  </w:num>
  <w:num w:numId="14">
    <w:abstractNumId w:val="8"/>
  </w:num>
  <w:num w:numId="15">
    <w:abstractNumId w:val="6"/>
  </w:num>
  <w:num w:numId="16">
    <w:abstractNumId w:val="10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06A1D05-EC7E-436E-B753-C10F5738E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qFormat/>
    <w:locked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3">
    <w:name w:val="List Paragraph"/>
    <w:basedOn w:val="a"/>
    <w:uiPriority w:val="99"/>
    <w:qFormat/>
    <w:pPr>
      <w:ind w:left="720"/>
      <w:contextualSpacing/>
    </w:pPr>
  </w:style>
  <w:style w:type="character" w:customStyle="1" w:styleId="ConsPlusNonformat0">
    <w:name w:val="ConsPlusNonformat Знак"/>
    <w:link w:val="ConsPlusNonformat"/>
    <w:locked/>
    <w:rPr>
      <w:rFonts w:ascii="Courier New" w:hAnsi="Courier New"/>
      <w:sz w:val="22"/>
      <w:lang w:eastAsia="ru-RU"/>
    </w:rPr>
  </w:style>
  <w:style w:type="paragraph" w:styleId="a4">
    <w:name w:val="Balloon Text"/>
    <w:basedOn w:val="a"/>
    <w:link w:val="a5"/>
    <w:uiPriority w:val="99"/>
    <w:semiHidden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Pr>
      <w:rFonts w:cs="Times New Roman"/>
    </w:rPr>
  </w:style>
  <w:style w:type="character" w:styleId="a6">
    <w:name w:val="Hyperlink"/>
    <w:basedOn w:val="a0"/>
    <w:uiPriority w:val="99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1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paragraph">
    <w:name w:val="paragraph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basedOn w:val="a0"/>
  </w:style>
  <w:style w:type="character" w:customStyle="1" w:styleId="eop">
    <w:name w:val="eop"/>
    <w:basedOn w:val="a0"/>
  </w:style>
  <w:style w:type="character" w:customStyle="1" w:styleId="spellingerror">
    <w:name w:val="spellingerror"/>
    <w:basedOn w:val="a0"/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Pr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Pr>
      <w:lang w:eastAsia="en-US"/>
    </w:rPr>
  </w:style>
  <w:style w:type="table" w:styleId="ab">
    <w:name w:val="Table Grid"/>
    <w:basedOn w:val="a1"/>
    <w:unhideWhenUsed/>
    <w:locked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1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0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6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5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9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9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8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2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5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9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9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7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2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6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8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6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5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2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7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9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9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6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5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0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1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C0186-E86C-4B08-A1E4-6FB392E28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2525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 Ковалевская</dc:creator>
  <cp:lastModifiedBy>Фадеева Алена Михайловна</cp:lastModifiedBy>
  <cp:revision>48</cp:revision>
  <cp:lastPrinted>2020-09-10T09:34:00Z</cp:lastPrinted>
  <dcterms:created xsi:type="dcterms:W3CDTF">2019-11-25T12:39:00Z</dcterms:created>
  <dcterms:modified xsi:type="dcterms:W3CDTF">2020-09-10T09:34:00Z</dcterms:modified>
</cp:coreProperties>
</file>